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Татьяны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д.25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До начала судебного заседания представила заявление о рассмотрении дела в её отсутствие, приложила копию квитанции </w:t>
      </w:r>
      <w:r>
        <w:rPr>
          <w:rFonts w:ascii="Times New Roman" w:eastAsia="Times New Roman" w:hAnsi="Times New Roman" w:cs="Times New Roman"/>
        </w:rPr>
        <w:t xml:space="preserve">от 07.08.2025 </w:t>
      </w:r>
      <w:r>
        <w:rPr>
          <w:rFonts w:ascii="Times New Roman" w:eastAsia="Times New Roman" w:hAnsi="Times New Roman" w:cs="Times New Roman"/>
        </w:rPr>
        <w:t>об уплате штрафа по постановлению 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16.07.2025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9208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07.08.2025.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Смягчающими административную ответственность обстоятельствами являются признание вины в совершенном правонарушение и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Змановскую</w:t>
      </w:r>
      <w:r>
        <w:rPr>
          <w:rFonts w:ascii="Times New Roman" w:eastAsia="Times New Roman" w:hAnsi="Times New Roman" w:cs="Times New Roman"/>
        </w:rPr>
        <w:t xml:space="preserve">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0412365400725011812520179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